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FFA49" w14:textId="77777777" w:rsidR="005305C2" w:rsidRPr="006C6ECB" w:rsidRDefault="005305C2" w:rsidP="00D11366">
      <w:pPr>
        <w:pStyle w:val="ASDEFCONTitle"/>
      </w:pPr>
      <w:bookmarkStart w:id="0" w:name="_Toc3028317"/>
      <w:bookmarkStart w:id="1" w:name="_GoBack"/>
      <w:bookmarkEnd w:id="1"/>
      <w:r w:rsidRPr="006C6ECB">
        <w:t>PRICE AND PAYMENTs (CORE)</w:t>
      </w:r>
    </w:p>
    <w:p w14:paraId="2851941E" w14:textId="77777777" w:rsidR="001F0E85" w:rsidRDefault="001F0E85" w:rsidP="0094602A">
      <w:pPr>
        <w:pStyle w:val="ASDEFCONTitle"/>
      </w:pPr>
      <w:r>
        <w:t>Contractor Standing Capability RELEVANT Clauses</w:t>
      </w:r>
    </w:p>
    <w:p w14:paraId="35CB3006" w14:textId="77777777" w:rsidR="0066706E" w:rsidRPr="0066273A" w:rsidRDefault="0066706E" w:rsidP="0066706E">
      <w:pPr>
        <w:pStyle w:val="COTCOCLV1-ASDEFCON"/>
      </w:pPr>
      <w:bookmarkStart w:id="2" w:name="_Ref79646116"/>
      <w:bookmarkStart w:id="3" w:name="_Toc124228611"/>
      <w:bookmarkStart w:id="4" w:name="_Toc97811152"/>
      <w:r w:rsidRPr="0066273A">
        <w:t>Adjustments (CORE)</w:t>
      </w:r>
      <w:bookmarkEnd w:id="2"/>
      <w:bookmarkEnd w:id="3"/>
      <w:bookmarkEnd w:id="4"/>
    </w:p>
    <w:p w14:paraId="18CE7864" w14:textId="737BF4F6" w:rsidR="0066706E" w:rsidRDefault="0066706E" w:rsidP="0066706E">
      <w:pPr>
        <w:pStyle w:val="COTCOCLV2-ASDEFCON"/>
      </w:pPr>
      <w:bookmarkStart w:id="5" w:name="_Ref83105267"/>
      <w:r>
        <w:t>…</w:t>
      </w:r>
    </w:p>
    <w:p w14:paraId="234ACADB" w14:textId="142CE15D" w:rsidR="0066706E" w:rsidRDefault="0066706E" w:rsidP="0066706E">
      <w:pPr>
        <w:pStyle w:val="COTCOCLV2-ASDEFCON"/>
      </w:pPr>
      <w:r>
        <w:t>Adjustment Process (CORE)</w:t>
      </w:r>
      <w:bookmarkEnd w:id="5"/>
    </w:p>
    <w:p w14:paraId="2C38444D" w14:textId="640D15AD" w:rsidR="00EB264E" w:rsidRDefault="00EB264E" w:rsidP="00634844">
      <w:pPr>
        <w:pStyle w:val="NoteToDrafters-ASDEFCON"/>
      </w:pPr>
      <w:r>
        <w:t>Note to drafters: Amend the start of clause 7.2.1 as follows.</w:t>
      </w:r>
    </w:p>
    <w:p w14:paraId="1BEF9095" w14:textId="337DE9BC" w:rsidR="00EB264E" w:rsidRDefault="00EB264E" w:rsidP="00634844">
      <w:pPr>
        <w:pStyle w:val="COTCOCLV3-ASDEFCON"/>
      </w:pPr>
      <w:r>
        <w:t>For each price (excluding labour rates for S&amp;Q Services</w:t>
      </w:r>
      <w:r w:rsidR="00634844">
        <w:t xml:space="preserve"> and hourly rates for CSC Services</w:t>
      </w:r>
      <w:r>
        <w:t>) subject to</w:t>
      </w:r>
      <w:r w:rsidR="00634844">
        <w:t xml:space="preserve"> adjustment</w:t>
      </w:r>
      <w:r w:rsidR="00021C59">
        <w:t xml:space="preserve"> for</w:t>
      </w:r>
      <w:r>
        <w:t xml:space="preserve"> …</w:t>
      </w:r>
    </w:p>
    <w:p w14:paraId="457588F0" w14:textId="11705F74" w:rsidR="001F0E85" w:rsidRDefault="00037533" w:rsidP="001817F6">
      <w:pPr>
        <w:pStyle w:val="NoteToDrafters-ASDEFCON"/>
      </w:pPr>
      <w:r>
        <w:t xml:space="preserve">Note to drafters: Replace clause 7.2.2 </w:t>
      </w:r>
      <w:r w:rsidR="00EB264E">
        <w:t xml:space="preserve">(for S&amp;Q rates) </w:t>
      </w:r>
      <w:r>
        <w:t>with the following</w:t>
      </w:r>
      <w:r w:rsidR="00D24DC6">
        <w:t>.</w:t>
      </w:r>
    </w:p>
    <w:p w14:paraId="5BA9999E" w14:textId="3B6EDA62" w:rsidR="00037533" w:rsidRDefault="00037533" w:rsidP="00037533">
      <w:pPr>
        <w:pStyle w:val="COTCOCLV3-ASDEFCON"/>
      </w:pPr>
      <w:r>
        <w:t xml:space="preserve">For </w:t>
      </w:r>
      <w:r w:rsidR="00346A93">
        <w:t xml:space="preserve">the </w:t>
      </w:r>
      <w:r>
        <w:t>labour rates</w:t>
      </w:r>
      <w:r w:rsidR="007D72D4">
        <w:t xml:space="preserve"> </w:t>
      </w:r>
      <w:r w:rsidR="00E0678B">
        <w:t xml:space="preserve">in Annex E </w:t>
      </w:r>
      <w:r w:rsidR="007D72D4">
        <w:t xml:space="preserve">used </w:t>
      </w:r>
      <w:r w:rsidR="00346A93">
        <w:t xml:space="preserve">when quoting for </w:t>
      </w:r>
      <w:r>
        <w:t>S&amp;Q Services</w:t>
      </w:r>
      <w:r w:rsidR="009E4576">
        <w:t>,</w:t>
      </w:r>
      <w:r>
        <w:t xml:space="preserve"> and </w:t>
      </w:r>
      <w:r w:rsidR="00346A93">
        <w:t xml:space="preserve">the </w:t>
      </w:r>
      <w:r w:rsidR="00E0678B">
        <w:t xml:space="preserve">hourly rates in Annex H for </w:t>
      </w:r>
      <w:r>
        <w:t>CSC Services, the fol</w:t>
      </w:r>
      <w:r w:rsidR="007D72D4">
        <w:t>lowing formula shall be applied</w:t>
      </w:r>
      <w:r w:rsidR="00040A07">
        <w:t xml:space="preserve"> </w:t>
      </w:r>
      <w:r>
        <w:t>in accordance with clause 7.4 of the conditions of contract:</w:t>
      </w:r>
    </w:p>
    <w:p w14:paraId="1477283B" w14:textId="77777777" w:rsidR="00037533" w:rsidRDefault="00E83FAC" w:rsidP="00037533">
      <w:pPr>
        <w:pStyle w:val="ASDEFCONNormal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3A4F0D24" w14:textId="77777777" w:rsidR="00037533" w:rsidRDefault="00037533" w:rsidP="00037533">
      <w:pPr>
        <w:pStyle w:val="COTCOCLV3NONUM-ASDEFCON"/>
      </w:pPr>
      <w:r>
        <w:t>where, for each applicable source currency: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626"/>
      </w:tblGrid>
      <w:tr w:rsidR="00037533" w:rsidRPr="00F25DFF" w14:paraId="4495828A" w14:textId="77777777" w:rsidTr="0034102B">
        <w:trPr>
          <w:cantSplit/>
        </w:trPr>
        <w:tc>
          <w:tcPr>
            <w:tcW w:w="567" w:type="dxa"/>
            <w:shd w:val="clear" w:color="auto" w:fill="auto"/>
          </w:tcPr>
          <w:p w14:paraId="05B7F047" w14:textId="77777777" w:rsidR="00037533" w:rsidRPr="00F25DFF" w:rsidRDefault="00037533" w:rsidP="0034102B">
            <w:pPr>
              <w:pStyle w:val="Table8ptHeading-ASDEFCON"/>
            </w:pPr>
            <w:r w:rsidRPr="00F25DFF">
              <w:t>Ref</w:t>
            </w:r>
          </w:p>
        </w:tc>
        <w:tc>
          <w:tcPr>
            <w:tcW w:w="7626" w:type="dxa"/>
            <w:shd w:val="clear" w:color="auto" w:fill="auto"/>
          </w:tcPr>
          <w:p w14:paraId="7C89913B" w14:textId="77777777" w:rsidR="00037533" w:rsidRPr="00F25DFF" w:rsidRDefault="00037533" w:rsidP="0034102B">
            <w:pPr>
              <w:pStyle w:val="Table8ptHeading-ASDEFCON"/>
            </w:pPr>
            <w:r w:rsidRPr="00F25DFF">
              <w:t>Description</w:t>
            </w:r>
          </w:p>
        </w:tc>
      </w:tr>
      <w:tr w:rsidR="00037533" w:rsidRPr="003B4D5A" w14:paraId="04FECF00" w14:textId="77777777" w:rsidTr="0034102B">
        <w:trPr>
          <w:cantSplit/>
        </w:trPr>
        <w:tc>
          <w:tcPr>
            <w:tcW w:w="567" w:type="dxa"/>
            <w:shd w:val="clear" w:color="auto" w:fill="auto"/>
          </w:tcPr>
          <w:p w14:paraId="36BDB695" w14:textId="77777777" w:rsidR="00037533" w:rsidRPr="00F25DFF" w:rsidRDefault="00037533" w:rsidP="0034102B">
            <w:pPr>
              <w:pStyle w:val="Table8ptText-ASDEFCON"/>
            </w:pPr>
            <w:r w:rsidRPr="00F25DFF">
              <w:t>P</w:t>
            </w:r>
            <w:r>
              <w:rPr>
                <w:vertAlign w:val="subscript"/>
              </w:rPr>
              <w:t>n</w:t>
            </w:r>
          </w:p>
        </w:tc>
        <w:tc>
          <w:tcPr>
            <w:tcW w:w="7626" w:type="dxa"/>
            <w:shd w:val="clear" w:color="auto" w:fill="auto"/>
          </w:tcPr>
          <w:p w14:paraId="271252CA" w14:textId="3C901D37" w:rsidR="00037533" w:rsidRPr="00F25DFF" w:rsidRDefault="00037533" w:rsidP="007D72D4">
            <w:pPr>
              <w:pStyle w:val="Table8ptText-ASDEFCON"/>
            </w:pPr>
            <w:r>
              <w:t xml:space="preserve">the new (ie, adjusted) </w:t>
            </w:r>
            <w:r w:rsidR="00D24DC6">
              <w:t xml:space="preserve">labour </w:t>
            </w:r>
            <w:r>
              <w:t>rate for S&amp;Q Services</w:t>
            </w:r>
            <w:r w:rsidR="00D24DC6">
              <w:t xml:space="preserve"> or hourly rate for CSC Services</w:t>
            </w:r>
            <w:r>
              <w:t>, to apply on and from the relevant Adjustment Date.</w:t>
            </w:r>
          </w:p>
        </w:tc>
      </w:tr>
      <w:tr w:rsidR="00037533" w:rsidRPr="003B4D5A" w14:paraId="7901AABE" w14:textId="77777777" w:rsidTr="0034102B">
        <w:trPr>
          <w:cantSplit/>
        </w:trPr>
        <w:tc>
          <w:tcPr>
            <w:tcW w:w="567" w:type="dxa"/>
            <w:shd w:val="clear" w:color="auto" w:fill="auto"/>
          </w:tcPr>
          <w:p w14:paraId="3E57EEA5" w14:textId="77777777" w:rsidR="00037533" w:rsidRPr="003B4D5A" w:rsidRDefault="00037533" w:rsidP="0034102B">
            <w:pPr>
              <w:pStyle w:val="Table8ptText-ASDEFCON"/>
            </w:pPr>
            <w:r w:rsidRPr="003B4D5A">
              <w:t>P</w:t>
            </w:r>
            <w:r w:rsidRPr="00A72DB1">
              <w:rPr>
                <w:vertAlign w:val="subscript"/>
              </w:rPr>
              <w:t>0</w:t>
            </w:r>
          </w:p>
        </w:tc>
        <w:tc>
          <w:tcPr>
            <w:tcW w:w="7626" w:type="dxa"/>
            <w:shd w:val="clear" w:color="auto" w:fill="auto"/>
          </w:tcPr>
          <w:p w14:paraId="4E6AF9E5" w14:textId="2D3C60EF" w:rsidR="00037533" w:rsidRPr="003B4D5A" w:rsidRDefault="00037533" w:rsidP="00664D0F">
            <w:pPr>
              <w:pStyle w:val="Table8ptText-ASDEFCON"/>
            </w:pPr>
            <w:r>
              <w:t xml:space="preserve">the labour rate for S&amp;Q Services </w:t>
            </w:r>
            <w:r w:rsidR="00D24DC6">
              <w:t>or</w:t>
            </w:r>
            <w:r w:rsidR="0066706E">
              <w:t xml:space="preserve"> the</w:t>
            </w:r>
            <w:r w:rsidR="00D24DC6">
              <w:t xml:space="preserve"> hourly rate for CSC Services, as applicable</w:t>
            </w:r>
            <w:r>
              <w:t>, immediately prior to the relevant Adjustment Date.</w:t>
            </w:r>
          </w:p>
        </w:tc>
      </w:tr>
      <w:tr w:rsidR="00037533" w:rsidRPr="003B4D5A" w14:paraId="167748A0" w14:textId="77777777" w:rsidTr="0034102B">
        <w:trPr>
          <w:cantSplit/>
        </w:trPr>
        <w:tc>
          <w:tcPr>
            <w:tcW w:w="567" w:type="dxa"/>
            <w:shd w:val="clear" w:color="auto" w:fill="auto"/>
          </w:tcPr>
          <w:p w14:paraId="50003215" w14:textId="77777777" w:rsidR="00037533" w:rsidRPr="00F25DFF" w:rsidRDefault="00037533" w:rsidP="0034102B">
            <w:pPr>
              <w:pStyle w:val="Table8ptText-ASDEFCON"/>
            </w:pPr>
            <w:r w:rsidRPr="00F25DFF">
              <w:t>L</w:t>
            </w:r>
            <w:r>
              <w:rPr>
                <w:vertAlign w:val="subscript"/>
              </w:rPr>
              <w:t>n</w:t>
            </w:r>
          </w:p>
        </w:tc>
        <w:tc>
          <w:tcPr>
            <w:tcW w:w="7626" w:type="dxa"/>
            <w:shd w:val="clear" w:color="auto" w:fill="auto"/>
          </w:tcPr>
          <w:p w14:paraId="328E4199" w14:textId="77777777" w:rsidR="00037533" w:rsidRPr="00F25DFF" w:rsidRDefault="00037533" w:rsidP="0034102B">
            <w:pPr>
              <w:pStyle w:val="Table8ptText-ASDEFCON"/>
            </w:pPr>
            <w:r>
              <w:t xml:space="preserve">the </w:t>
            </w:r>
            <w:r w:rsidRPr="00F25DFF">
              <w:t xml:space="preserve">labour index </w:t>
            </w:r>
            <w:r>
              <w:t>value</w:t>
            </w:r>
            <w:r w:rsidRPr="00F25DFF">
              <w:t xml:space="preserve"> </w:t>
            </w:r>
            <w:r>
              <w:t>(number) for a labour index series (L</w:t>
            </w:r>
            <w:r w:rsidRPr="00E538C0">
              <w:rPr>
                <w:vertAlign w:val="subscript"/>
              </w:rPr>
              <w:t>i</w:t>
            </w:r>
            <w:r>
              <w:t xml:space="preserve">) specified in Annex F, as published for the </w:t>
            </w:r>
            <w:r w:rsidRPr="00C12BE8">
              <w:t>quarter preceding the quarter containing</w:t>
            </w:r>
            <w:r>
              <w:t xml:space="preserve"> the relevant Adjustment Date.</w:t>
            </w:r>
          </w:p>
        </w:tc>
      </w:tr>
      <w:tr w:rsidR="00037533" w:rsidRPr="00F25DFF" w14:paraId="1A6256A3" w14:textId="77777777" w:rsidTr="0034102B">
        <w:trPr>
          <w:cantSplit/>
        </w:trPr>
        <w:tc>
          <w:tcPr>
            <w:tcW w:w="567" w:type="dxa"/>
            <w:shd w:val="clear" w:color="auto" w:fill="auto"/>
          </w:tcPr>
          <w:p w14:paraId="7929E4E2" w14:textId="77777777" w:rsidR="00037533" w:rsidRPr="00F25DFF" w:rsidRDefault="00037533" w:rsidP="0034102B">
            <w:pPr>
              <w:pStyle w:val="Table8ptText-ASDEFCON"/>
            </w:pPr>
            <w:r w:rsidRPr="003B4D5A">
              <w:t>L</w:t>
            </w:r>
            <w:r w:rsidRPr="008C70A0">
              <w:rPr>
                <w:vertAlign w:val="subscript"/>
              </w:rPr>
              <w:t>0</w:t>
            </w:r>
          </w:p>
        </w:tc>
        <w:tc>
          <w:tcPr>
            <w:tcW w:w="7626" w:type="dxa"/>
            <w:shd w:val="clear" w:color="auto" w:fill="auto"/>
          </w:tcPr>
          <w:p w14:paraId="573EAC3C" w14:textId="77777777" w:rsidR="00037533" w:rsidRPr="00F25DFF" w:rsidRDefault="00037533" w:rsidP="0034102B">
            <w:pPr>
              <w:pStyle w:val="Table8ptText-ASDEFCON"/>
            </w:pPr>
            <w:r>
              <w:t xml:space="preserve">the </w:t>
            </w:r>
            <w:r w:rsidRPr="008243B5">
              <w:t xml:space="preserve">labour </w:t>
            </w:r>
            <w:r w:rsidRPr="00F25DFF">
              <w:t xml:space="preserve">index </w:t>
            </w:r>
            <w:r>
              <w:t>value</w:t>
            </w:r>
            <w:r w:rsidRPr="00F25DFF">
              <w:t xml:space="preserve"> </w:t>
            </w:r>
            <w:r>
              <w:t xml:space="preserve">(number) for the </w:t>
            </w:r>
            <w:r w:rsidRPr="008243B5">
              <w:t xml:space="preserve">labour </w:t>
            </w:r>
            <w:r w:rsidRPr="00F25DFF">
              <w:t>index</w:t>
            </w:r>
            <w:r>
              <w:t xml:space="preserve"> series (L</w:t>
            </w:r>
            <w:r w:rsidRPr="00E538C0">
              <w:rPr>
                <w:vertAlign w:val="subscript"/>
              </w:rPr>
              <w:t>i</w:t>
            </w:r>
            <w:r>
              <w:t>) specified in Annex F, that was used</w:t>
            </w:r>
            <w:r w:rsidRPr="00F25DFF">
              <w:t xml:space="preserve"> </w:t>
            </w:r>
            <w:r>
              <w:t xml:space="preserve">for the previous rates adjustment or, in respect of the first adjustment, </w:t>
            </w:r>
            <w:r w:rsidRPr="00C12BE8">
              <w:t>the published index value for the quarter preceding the quarter containing</w:t>
            </w:r>
            <w:r>
              <w:t xml:space="preserve"> </w:t>
            </w:r>
            <w:r w:rsidRPr="00394F9F">
              <w:t>the Base Date</w:t>
            </w:r>
            <w:r>
              <w:t>.</w:t>
            </w:r>
          </w:p>
        </w:tc>
      </w:tr>
    </w:tbl>
    <w:p w14:paraId="49A260B7" w14:textId="77777777" w:rsidR="00037533" w:rsidRDefault="00037533" w:rsidP="00037533">
      <w:pPr>
        <w:pStyle w:val="ASDEFCONOptionSpace"/>
      </w:pPr>
    </w:p>
    <w:p w14:paraId="734F1F1E" w14:textId="77777777" w:rsidR="00037533" w:rsidRPr="001F0E85" w:rsidRDefault="00037533" w:rsidP="0094602A">
      <w:pPr>
        <w:pStyle w:val="ASDEFCONNormal"/>
      </w:pPr>
    </w:p>
    <w:p w14:paraId="00408193" w14:textId="4E178E16" w:rsidR="001F0E85" w:rsidRPr="001F0E85" w:rsidRDefault="00AB025F" w:rsidP="00D11366">
      <w:pPr>
        <w:pStyle w:val="NoteToDrafters-ASDEFCON"/>
      </w:pPr>
      <w:bookmarkStart w:id="6" w:name="_Ref520870319"/>
      <w:bookmarkStart w:id="7" w:name="_Ref530821824"/>
      <w:bookmarkStart w:id="8" w:name="_Toc3028320"/>
      <w:bookmarkEnd w:id="0"/>
      <w:r>
        <w:t xml:space="preserve">Note to drafters: </w:t>
      </w:r>
      <w:r w:rsidR="00287A05">
        <w:t xml:space="preserve"> </w:t>
      </w:r>
      <w:r>
        <w:t xml:space="preserve">Amend </w:t>
      </w:r>
      <w:r w:rsidR="00D11366">
        <w:t xml:space="preserve">clause </w:t>
      </w:r>
      <w:r w:rsidR="0074770E">
        <w:t>10</w:t>
      </w:r>
      <w:r w:rsidR="001F0E85">
        <w:t xml:space="preserve"> </w:t>
      </w:r>
      <w:r w:rsidR="00D11366">
        <w:t>in</w:t>
      </w:r>
      <w:r w:rsidR="001F0E85">
        <w:t xml:space="preserve"> Attachment B as follows</w:t>
      </w:r>
      <w:r w:rsidR="00DF2FDA">
        <w:t>.</w:t>
      </w:r>
    </w:p>
    <w:bookmarkEnd w:id="6"/>
    <w:bookmarkEnd w:id="7"/>
    <w:bookmarkEnd w:id="8"/>
    <w:p w14:paraId="45B79482" w14:textId="3623EEE4" w:rsidR="00E63920" w:rsidRPr="006C6ECB" w:rsidRDefault="00E63920" w:rsidP="007022F0">
      <w:pPr>
        <w:pStyle w:val="COTCOCLV1-ASDEFCON"/>
      </w:pPr>
      <w:r>
        <w:t>CONTRACTOR STANDING CAPABILITY</w:t>
      </w:r>
    </w:p>
    <w:p w14:paraId="2EC90A3C" w14:textId="7F1001DE" w:rsidR="00E63920" w:rsidRPr="006C6ECB" w:rsidRDefault="00E63920" w:rsidP="00D11366">
      <w:pPr>
        <w:pStyle w:val="NoteToTenderers-ASDEFCON"/>
      </w:pPr>
      <w:r>
        <w:t xml:space="preserve">Note to tenderers:  Annex </w:t>
      </w:r>
      <w:r w:rsidR="0074770E">
        <w:t>H</w:t>
      </w:r>
      <w:r w:rsidRPr="006C6ECB">
        <w:t xml:space="preserve"> will consist of an amalgamation of the </w:t>
      </w:r>
      <w:r w:rsidR="00D11366">
        <w:t xml:space="preserve">SPTPW </w:t>
      </w:r>
      <w:r w:rsidR="0074770E">
        <w:t>‘</w:t>
      </w:r>
      <w:r w:rsidR="00D11366">
        <w:t>Contractor</w:t>
      </w:r>
      <w:r w:rsidR="0074770E">
        <w:t xml:space="preserve"> </w:t>
      </w:r>
      <w:r w:rsidR="00D11366">
        <w:t>Standing</w:t>
      </w:r>
      <w:r w:rsidR="0074770E">
        <w:t xml:space="preserve"> </w:t>
      </w:r>
      <w:r w:rsidR="00D11366">
        <w:t>Capability’ worksheet from</w:t>
      </w:r>
      <w:r w:rsidRPr="006C6ECB">
        <w:t xml:space="preserve"> the successful tenderer’s response</w:t>
      </w:r>
      <w:r w:rsidR="00D11366">
        <w:t xml:space="preserve"> to TDR D</w:t>
      </w:r>
      <w:r w:rsidR="00EE49BB">
        <w:t>-1.1 and D-1.2</w:t>
      </w:r>
      <w:r w:rsidR="00B03D2B">
        <w:t>, and any negotiated adjust</w:t>
      </w:r>
      <w:r w:rsidR="00C14D43">
        <w:t>ments</w:t>
      </w:r>
      <w:r w:rsidRPr="006C6ECB">
        <w:t>.</w:t>
      </w:r>
    </w:p>
    <w:p w14:paraId="47A2D7FE" w14:textId="3AF2138C" w:rsidR="00020604" w:rsidRDefault="00020604" w:rsidP="007022F0">
      <w:pPr>
        <w:pStyle w:val="COTCOCLV2-ASDEFCON"/>
      </w:pPr>
      <w:r>
        <w:t>Contractor Standing Capability Pricing</w:t>
      </w:r>
    </w:p>
    <w:p w14:paraId="2D90ED51" w14:textId="0B27C7F4" w:rsidR="00020604" w:rsidRDefault="00020604" w:rsidP="00020604">
      <w:pPr>
        <w:pStyle w:val="COTCOCLV3-ASDEFCON"/>
      </w:pPr>
      <w:r>
        <w:t xml:space="preserve">The amounts </w:t>
      </w:r>
      <w:r w:rsidRPr="008A3CFC">
        <w:t>payable</w:t>
      </w:r>
      <w:r>
        <w:t xml:space="preserve"> by the Commonwealth</w:t>
      </w:r>
      <w:r w:rsidRPr="008A3CFC">
        <w:t xml:space="preserve"> to the Contractor </w:t>
      </w:r>
      <w:r>
        <w:t>in relation to the</w:t>
      </w:r>
      <w:r w:rsidRPr="008A3CFC">
        <w:t xml:space="preserve"> </w:t>
      </w:r>
      <w:r>
        <w:t>Contractor Standing Capability (CSC),</w:t>
      </w:r>
      <w:r w:rsidRPr="008A3CFC">
        <w:t xml:space="preserve"> </w:t>
      </w:r>
      <w:r>
        <w:t xml:space="preserve">in accordance with the </w:t>
      </w:r>
      <w:r w:rsidRPr="008A3CFC">
        <w:t>Contract</w:t>
      </w:r>
      <w:r>
        <w:t>,</w:t>
      </w:r>
      <w:r w:rsidRPr="00993189">
        <w:t xml:space="preserve"> </w:t>
      </w:r>
      <w:r>
        <w:t>shall be:</w:t>
      </w:r>
    </w:p>
    <w:p w14:paraId="2BED1332" w14:textId="6859E520" w:rsidR="00020604" w:rsidRDefault="00020604" w:rsidP="00020604">
      <w:pPr>
        <w:pStyle w:val="COTCOCLV4-ASDEFCON"/>
      </w:pPr>
      <w:r>
        <w:t xml:space="preserve">for on-going CSC Services, as detailed in the file: </w:t>
      </w:r>
      <w:r>
        <w:fldChar w:fldCharType="begin">
          <w:ffData>
            <w:name w:val=""/>
            <w:enabled/>
            <w:calcOnExit w:val="0"/>
            <w:textInput>
              <w:default w:val="(…INSERT the file name for the &quot;ContractorStandingCapability worksheet&quot; from the SPTPW…)"/>
            </w:textInput>
          </w:ffData>
        </w:fldChar>
      </w:r>
      <w:r>
        <w:instrText xml:space="preserve"> FORMTEXT </w:instrText>
      </w:r>
      <w:r>
        <w:fldChar w:fldCharType="separate"/>
      </w:r>
      <w:r w:rsidR="00E83FAC">
        <w:rPr>
          <w:noProof/>
        </w:rPr>
        <w:t>(…INSERT the file name for the "ContractorStandingCapability worksheet" from the SPTPW…)</w:t>
      </w:r>
      <w:r>
        <w:fldChar w:fldCharType="end"/>
      </w:r>
      <w:r>
        <w:t>, which forms</w:t>
      </w:r>
      <w:r w:rsidRPr="00F92B0E">
        <w:t xml:space="preserve"> </w:t>
      </w:r>
      <w:r>
        <w:t xml:space="preserve">Annex </w:t>
      </w:r>
      <w:r w:rsidR="0074770E">
        <w:t>H</w:t>
      </w:r>
      <w:r>
        <w:t xml:space="preserve"> to this Attachment; and</w:t>
      </w:r>
    </w:p>
    <w:p w14:paraId="2957CFD2" w14:textId="5762FA24" w:rsidR="00020604" w:rsidRDefault="007022F0" w:rsidP="007022F0">
      <w:pPr>
        <w:pStyle w:val="COTCOCLV4-ASDEFCON"/>
      </w:pPr>
      <w:r>
        <w:t xml:space="preserve">for CSC Additional Resources, as </w:t>
      </w:r>
      <w:r w:rsidR="00020604">
        <w:t>determined</w:t>
      </w:r>
      <w:r>
        <w:t xml:space="preserve"> in accordance with clause 15.4 of the COC.</w:t>
      </w:r>
    </w:p>
    <w:p w14:paraId="73536846" w14:textId="6CF2F598" w:rsidR="00617EC4" w:rsidRPr="00E2770A" w:rsidRDefault="00617EC4" w:rsidP="00020604">
      <w:pPr>
        <w:pStyle w:val="ASDEFCONTitle"/>
      </w:pPr>
    </w:p>
    <w:sectPr w:rsidR="00617EC4" w:rsidRPr="00E2770A" w:rsidSect="00F5009A">
      <w:headerReference w:type="default" r:id="rId7"/>
      <w:footerReference w:type="default" r:id="rId8"/>
      <w:pgSz w:w="11907" w:h="16840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7C820" w14:textId="77777777" w:rsidR="001935EE" w:rsidRDefault="001935EE">
      <w:r>
        <w:separator/>
      </w:r>
    </w:p>
  </w:endnote>
  <w:endnote w:type="continuationSeparator" w:id="0">
    <w:p w14:paraId="6E8FBAFD" w14:textId="77777777" w:rsidR="001935EE" w:rsidRDefault="0019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DE2EC8" w14:paraId="112078B1" w14:textId="77777777" w:rsidTr="00615364">
      <w:tc>
        <w:tcPr>
          <w:tcW w:w="2500" w:type="pct"/>
        </w:tcPr>
        <w:p w14:paraId="2DC9A767" w14:textId="6AE6A219" w:rsidR="00DE2EC8" w:rsidRDefault="00DE2EC8" w:rsidP="00DE2EC8">
          <w:pPr>
            <w:pStyle w:val="ASDEFCONHeaderFooterLeft"/>
          </w:pPr>
          <w:r>
            <w:t xml:space="preserve">Contractor Standing Capability Module </w:t>
          </w:r>
          <w:r w:rsidR="001935EE">
            <w:fldChar w:fldCharType="begin"/>
          </w:r>
          <w:r w:rsidR="001935EE">
            <w:instrText xml:space="preserve"> DOCPROPERTY  Version  \* MERGEFORMAT </w:instrText>
          </w:r>
          <w:r w:rsidR="001935EE">
            <w:fldChar w:fldCharType="separate"/>
          </w:r>
          <w:r w:rsidR="00E83FAC">
            <w:t>V5.3</w:t>
          </w:r>
          <w:r w:rsidR="001935EE">
            <w:fldChar w:fldCharType="end"/>
          </w:r>
        </w:p>
      </w:tc>
      <w:tc>
        <w:tcPr>
          <w:tcW w:w="2500" w:type="pct"/>
        </w:tcPr>
        <w:p w14:paraId="2C27E247" w14:textId="786E64EA" w:rsidR="00DE2EC8" w:rsidRDefault="00DE2EC8" w:rsidP="00DE2EC8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83FAC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DE2EC8" w14:paraId="3CA3603A" w14:textId="77777777" w:rsidTr="00615364">
      <w:trPr>
        <w:trHeight w:val="284"/>
      </w:trPr>
      <w:tc>
        <w:tcPr>
          <w:tcW w:w="5000" w:type="pct"/>
          <w:gridSpan w:val="2"/>
        </w:tcPr>
        <w:p w14:paraId="25C2C8F0" w14:textId="209E5AF6" w:rsidR="00DE2EC8" w:rsidRPr="00F55A77" w:rsidRDefault="00DE2EC8" w:rsidP="00DE2EC8">
          <w:pPr>
            <w:pStyle w:val="ASDEFCONHeaderFooterRight"/>
            <w:jc w:val="center"/>
            <w:rPr>
              <w:b/>
            </w:rPr>
          </w:pPr>
          <w:r w:rsidRPr="00F55A77">
            <w:rPr>
              <w:b/>
              <w:sz w:val="20"/>
            </w:rPr>
            <w:fldChar w:fldCharType="begin"/>
          </w:r>
          <w:r w:rsidRPr="00F55A77">
            <w:rPr>
              <w:b/>
              <w:sz w:val="20"/>
            </w:rPr>
            <w:instrText xml:space="preserve"> DOCPROPERTY  Classification  \* MERGEFORMAT </w:instrText>
          </w:r>
          <w:r w:rsidRPr="00F55A77">
            <w:rPr>
              <w:b/>
              <w:sz w:val="20"/>
            </w:rPr>
            <w:fldChar w:fldCharType="separate"/>
          </w:r>
          <w:r w:rsidR="00E83FAC">
            <w:rPr>
              <w:b/>
              <w:sz w:val="20"/>
            </w:rPr>
            <w:t>OFFICIAL</w:t>
          </w:r>
          <w:r w:rsidRPr="00F55A77">
            <w:rPr>
              <w:b/>
              <w:sz w:val="20"/>
            </w:rPr>
            <w:fldChar w:fldCharType="end"/>
          </w:r>
        </w:p>
      </w:tc>
    </w:tr>
  </w:tbl>
  <w:p w14:paraId="66E4D2EF" w14:textId="0718E93C" w:rsidR="00287A05" w:rsidRPr="00DE2EC8" w:rsidRDefault="00287A05" w:rsidP="00DE2EC8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B480E" w14:textId="77777777" w:rsidR="001935EE" w:rsidRDefault="001935EE">
      <w:r>
        <w:separator/>
      </w:r>
    </w:p>
  </w:footnote>
  <w:footnote w:type="continuationSeparator" w:id="0">
    <w:p w14:paraId="4F64B1EE" w14:textId="77777777" w:rsidR="001935EE" w:rsidRDefault="0019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287A05" w14:paraId="47F02E40" w14:textId="77777777" w:rsidTr="00F5009A">
      <w:tc>
        <w:tcPr>
          <w:tcW w:w="5000" w:type="pct"/>
          <w:gridSpan w:val="2"/>
        </w:tcPr>
        <w:p w14:paraId="61139962" w14:textId="5D7F9F42" w:rsidR="00287A05" w:rsidRDefault="00E83FAC" w:rsidP="00DE77A2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287A05" w14:paraId="70AF3697" w14:textId="77777777" w:rsidTr="00F5009A">
      <w:tc>
        <w:tcPr>
          <w:tcW w:w="2500" w:type="pct"/>
        </w:tcPr>
        <w:p w14:paraId="642B2B6F" w14:textId="17E52324" w:rsidR="00287A05" w:rsidRDefault="001935EE" w:rsidP="00F5009A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83FAC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672E2786" w14:textId="2B29AA94" w:rsidR="00287A05" w:rsidRDefault="001935EE" w:rsidP="00F5009A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E83FAC">
            <w:t>PART 2</w:t>
          </w:r>
          <w:r>
            <w:fldChar w:fldCharType="end"/>
          </w:r>
        </w:p>
      </w:tc>
    </w:tr>
  </w:tbl>
  <w:p w14:paraId="0CCE22D0" w14:textId="004E18A3" w:rsidR="00287A05" w:rsidRPr="00F5009A" w:rsidRDefault="00287A05" w:rsidP="00A762DB">
    <w:pPr>
      <w:pStyle w:val="ASDEFCONTitle"/>
    </w:pPr>
    <w:r>
      <w:t>ATTACHMENT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A5AF9"/>
    <w:multiLevelType w:val="multilevel"/>
    <w:tmpl w:val="C396CA52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0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1C75FA"/>
    <w:multiLevelType w:val="multilevel"/>
    <w:tmpl w:val="7CCAC9C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pStyle w:val="spara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D2F8F"/>
    <w:multiLevelType w:val="singleLevel"/>
    <w:tmpl w:val="FD261D0A"/>
    <w:lvl w:ilvl="0">
      <w:start w:val="1"/>
      <w:numFmt w:val="upperLetter"/>
      <w:pStyle w:val="Attachments"/>
      <w:lvlText w:val="%1."/>
      <w:lvlJc w:val="left"/>
      <w:pPr>
        <w:tabs>
          <w:tab w:val="num" w:pos="1440"/>
        </w:tabs>
        <w:ind w:left="1440" w:hanging="533"/>
      </w:p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0"/>
  </w:num>
  <w:num w:numId="4">
    <w:abstractNumId w:val="3"/>
  </w:num>
  <w:num w:numId="5">
    <w:abstractNumId w:val="16"/>
  </w:num>
  <w:num w:numId="6">
    <w:abstractNumId w:val="5"/>
  </w:num>
  <w:num w:numId="7">
    <w:abstractNumId w:val="21"/>
  </w:num>
  <w:num w:numId="8">
    <w:abstractNumId w:val="29"/>
  </w:num>
  <w:num w:numId="9">
    <w:abstractNumId w:val="22"/>
    <w:lvlOverride w:ilvl="0">
      <w:startOverride w:val="1"/>
    </w:lvlOverride>
  </w:num>
  <w:num w:numId="10">
    <w:abstractNumId w:val="24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26"/>
  </w:num>
  <w:num w:numId="15">
    <w:abstractNumId w:val="17"/>
  </w:num>
  <w:num w:numId="16">
    <w:abstractNumId w:val="30"/>
  </w:num>
  <w:num w:numId="17">
    <w:abstractNumId w:val="12"/>
  </w:num>
  <w:num w:numId="18">
    <w:abstractNumId w:val="14"/>
  </w:num>
  <w:num w:numId="19">
    <w:abstractNumId w:val="31"/>
  </w:num>
  <w:num w:numId="20">
    <w:abstractNumId w:val="8"/>
  </w:num>
  <w:num w:numId="21">
    <w:abstractNumId w:val="7"/>
  </w:num>
  <w:num w:numId="22">
    <w:abstractNumId w:val="2"/>
  </w:num>
  <w:num w:numId="23">
    <w:abstractNumId w:val="4"/>
  </w:num>
  <w:num w:numId="24">
    <w:abstractNumId w:val="13"/>
  </w:num>
  <w:num w:numId="25">
    <w:abstractNumId w:val="1"/>
  </w:num>
  <w:num w:numId="26">
    <w:abstractNumId w:val="19"/>
  </w:num>
  <w:num w:numId="27">
    <w:abstractNumId w:val="27"/>
  </w:num>
  <w:num w:numId="28">
    <w:abstractNumId w:val="25"/>
  </w:num>
  <w:num w:numId="29">
    <w:abstractNumId w:val="15"/>
  </w:num>
  <w:num w:numId="3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1">
    <w:abstractNumId w:val="1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CB"/>
    <w:rsid w:val="00000279"/>
    <w:rsid w:val="00020604"/>
    <w:rsid w:val="00021C59"/>
    <w:rsid w:val="00021FEA"/>
    <w:rsid w:val="00027BC4"/>
    <w:rsid w:val="00037533"/>
    <w:rsid w:val="00040A07"/>
    <w:rsid w:val="000757F7"/>
    <w:rsid w:val="0007625A"/>
    <w:rsid w:val="00090528"/>
    <w:rsid w:val="000A1C64"/>
    <w:rsid w:val="000A6B45"/>
    <w:rsid w:val="000F1668"/>
    <w:rsid w:val="001223A3"/>
    <w:rsid w:val="0013186E"/>
    <w:rsid w:val="00131CC1"/>
    <w:rsid w:val="00137310"/>
    <w:rsid w:val="00167302"/>
    <w:rsid w:val="00175B49"/>
    <w:rsid w:val="001817F6"/>
    <w:rsid w:val="001916B5"/>
    <w:rsid w:val="001935EE"/>
    <w:rsid w:val="001A4E9E"/>
    <w:rsid w:val="001C427F"/>
    <w:rsid w:val="001C5614"/>
    <w:rsid w:val="001D69AB"/>
    <w:rsid w:val="001F0E85"/>
    <w:rsid w:val="001F7E3C"/>
    <w:rsid w:val="0020145A"/>
    <w:rsid w:val="00201796"/>
    <w:rsid w:val="00222D19"/>
    <w:rsid w:val="00227BB8"/>
    <w:rsid w:val="00235453"/>
    <w:rsid w:val="002721CC"/>
    <w:rsid w:val="00273210"/>
    <w:rsid w:val="00287A05"/>
    <w:rsid w:val="00295A3C"/>
    <w:rsid w:val="00295C15"/>
    <w:rsid w:val="002A7C19"/>
    <w:rsid w:val="002F7849"/>
    <w:rsid w:val="00311203"/>
    <w:rsid w:val="0031304C"/>
    <w:rsid w:val="00325E65"/>
    <w:rsid w:val="00346A93"/>
    <w:rsid w:val="00364C9B"/>
    <w:rsid w:val="003752EE"/>
    <w:rsid w:val="003941D0"/>
    <w:rsid w:val="003E48A2"/>
    <w:rsid w:val="003F37AB"/>
    <w:rsid w:val="00402652"/>
    <w:rsid w:val="00405B70"/>
    <w:rsid w:val="00411F74"/>
    <w:rsid w:val="004366D6"/>
    <w:rsid w:val="00444BFC"/>
    <w:rsid w:val="00464510"/>
    <w:rsid w:val="00484BF0"/>
    <w:rsid w:val="004D68EF"/>
    <w:rsid w:val="0051014C"/>
    <w:rsid w:val="0051106A"/>
    <w:rsid w:val="00512A36"/>
    <w:rsid w:val="005147D4"/>
    <w:rsid w:val="005305C2"/>
    <w:rsid w:val="005410DD"/>
    <w:rsid w:val="00571972"/>
    <w:rsid w:val="005719D7"/>
    <w:rsid w:val="005809D0"/>
    <w:rsid w:val="00586F04"/>
    <w:rsid w:val="00587E4B"/>
    <w:rsid w:val="00590311"/>
    <w:rsid w:val="005A3369"/>
    <w:rsid w:val="005A3628"/>
    <w:rsid w:val="005C31AD"/>
    <w:rsid w:val="005E004E"/>
    <w:rsid w:val="00613B4C"/>
    <w:rsid w:val="00617EC4"/>
    <w:rsid w:val="006212B3"/>
    <w:rsid w:val="00634844"/>
    <w:rsid w:val="00643D3B"/>
    <w:rsid w:val="006462F9"/>
    <w:rsid w:val="00664D0F"/>
    <w:rsid w:val="00665E56"/>
    <w:rsid w:val="0066706E"/>
    <w:rsid w:val="0066762C"/>
    <w:rsid w:val="006768E9"/>
    <w:rsid w:val="0068099A"/>
    <w:rsid w:val="0068288E"/>
    <w:rsid w:val="00684AFD"/>
    <w:rsid w:val="006B022C"/>
    <w:rsid w:val="006C6ECB"/>
    <w:rsid w:val="007022F0"/>
    <w:rsid w:val="00711753"/>
    <w:rsid w:val="0074770E"/>
    <w:rsid w:val="00765149"/>
    <w:rsid w:val="007657AD"/>
    <w:rsid w:val="00771F27"/>
    <w:rsid w:val="00772106"/>
    <w:rsid w:val="00772E4B"/>
    <w:rsid w:val="00781BDE"/>
    <w:rsid w:val="007A0831"/>
    <w:rsid w:val="007B2092"/>
    <w:rsid w:val="007D72D4"/>
    <w:rsid w:val="00806A82"/>
    <w:rsid w:val="008168AD"/>
    <w:rsid w:val="00840E47"/>
    <w:rsid w:val="00847D7F"/>
    <w:rsid w:val="0085529B"/>
    <w:rsid w:val="0088406C"/>
    <w:rsid w:val="008B0D74"/>
    <w:rsid w:val="008C02D5"/>
    <w:rsid w:val="008C1776"/>
    <w:rsid w:val="008D59F7"/>
    <w:rsid w:val="009121A9"/>
    <w:rsid w:val="0091622A"/>
    <w:rsid w:val="00926CE9"/>
    <w:rsid w:val="0094602A"/>
    <w:rsid w:val="00955C10"/>
    <w:rsid w:val="00955EE2"/>
    <w:rsid w:val="0096048E"/>
    <w:rsid w:val="00962D9A"/>
    <w:rsid w:val="00974E11"/>
    <w:rsid w:val="00993054"/>
    <w:rsid w:val="009E4576"/>
    <w:rsid w:val="009E73D2"/>
    <w:rsid w:val="00A02F40"/>
    <w:rsid w:val="00A45D3A"/>
    <w:rsid w:val="00A46E7C"/>
    <w:rsid w:val="00A762DB"/>
    <w:rsid w:val="00A803FE"/>
    <w:rsid w:val="00AB025F"/>
    <w:rsid w:val="00AB340D"/>
    <w:rsid w:val="00AB488E"/>
    <w:rsid w:val="00AC1B6D"/>
    <w:rsid w:val="00AD7F08"/>
    <w:rsid w:val="00AF5DA6"/>
    <w:rsid w:val="00B03CE5"/>
    <w:rsid w:val="00B03D2B"/>
    <w:rsid w:val="00B12919"/>
    <w:rsid w:val="00B4136B"/>
    <w:rsid w:val="00B9656B"/>
    <w:rsid w:val="00BA23FE"/>
    <w:rsid w:val="00BA5262"/>
    <w:rsid w:val="00BB2071"/>
    <w:rsid w:val="00C14D43"/>
    <w:rsid w:val="00C27C7F"/>
    <w:rsid w:val="00C32B53"/>
    <w:rsid w:val="00C4154F"/>
    <w:rsid w:val="00C4653A"/>
    <w:rsid w:val="00C604BA"/>
    <w:rsid w:val="00C61580"/>
    <w:rsid w:val="00C71D67"/>
    <w:rsid w:val="00C9203B"/>
    <w:rsid w:val="00CB1DD5"/>
    <w:rsid w:val="00CC2C9A"/>
    <w:rsid w:val="00CD5117"/>
    <w:rsid w:val="00CE46A9"/>
    <w:rsid w:val="00D11366"/>
    <w:rsid w:val="00D24DC6"/>
    <w:rsid w:val="00D256C6"/>
    <w:rsid w:val="00D41B08"/>
    <w:rsid w:val="00D97816"/>
    <w:rsid w:val="00DB0DAE"/>
    <w:rsid w:val="00DB0E3D"/>
    <w:rsid w:val="00DE2EC8"/>
    <w:rsid w:val="00DE77A2"/>
    <w:rsid w:val="00DF2FDA"/>
    <w:rsid w:val="00DF3FE1"/>
    <w:rsid w:val="00E0678B"/>
    <w:rsid w:val="00E20610"/>
    <w:rsid w:val="00E2457C"/>
    <w:rsid w:val="00E2770A"/>
    <w:rsid w:val="00E63920"/>
    <w:rsid w:val="00E72034"/>
    <w:rsid w:val="00E83610"/>
    <w:rsid w:val="00E83FAC"/>
    <w:rsid w:val="00E92D94"/>
    <w:rsid w:val="00EA1F68"/>
    <w:rsid w:val="00EB264E"/>
    <w:rsid w:val="00ED1F9D"/>
    <w:rsid w:val="00EE31C0"/>
    <w:rsid w:val="00EE49BB"/>
    <w:rsid w:val="00EE53F2"/>
    <w:rsid w:val="00EF2924"/>
    <w:rsid w:val="00F0176E"/>
    <w:rsid w:val="00F15D22"/>
    <w:rsid w:val="00F259A7"/>
    <w:rsid w:val="00F5009A"/>
    <w:rsid w:val="00F6053C"/>
    <w:rsid w:val="00FD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93AE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FAC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E83FAC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83FA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(1),Major Sections,subsub,Para 3,h3"/>
    <w:basedOn w:val="Normal"/>
    <w:next w:val="Normal"/>
    <w:link w:val="Heading3Char"/>
    <w:uiPriority w:val="9"/>
    <w:qFormat/>
    <w:rsid w:val="00EB264E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eadhbk,(a),h4"/>
    <w:basedOn w:val="Normal"/>
    <w:next w:val="Normal"/>
    <w:link w:val="Heading4Char"/>
    <w:uiPriority w:val="9"/>
    <w:qFormat/>
    <w:rsid w:val="00EB264E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,H,subsubpara,1.1.1.1.1"/>
    <w:basedOn w:val="Normal"/>
    <w:next w:val="Normal"/>
    <w:link w:val="Heading5Char1"/>
    <w:qFormat/>
    <w:rsid w:val="008C1776"/>
    <w:pPr>
      <w:numPr>
        <w:ilvl w:val="4"/>
        <w:numId w:val="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"/>
    <w:basedOn w:val="Normal"/>
    <w:next w:val="Normal"/>
    <w:link w:val="Heading6Char1"/>
    <w:qFormat/>
    <w:rsid w:val="008C1776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,h7,H7,Legal Level 1.1.,7,Response Alpha,Response Numeral,Heading 7 Char1 Char1,Heading 7 Char Char Char1,Heading 7 Char1 Char1 Char Char Char1,Heading 7 Char Char Char1 Char Char Char1"/>
    <w:basedOn w:val="Normal"/>
    <w:next w:val="Normal"/>
    <w:link w:val="Heading7Char1"/>
    <w:qFormat/>
    <w:rsid w:val="008C1776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link w:val="Heading8Char1"/>
    <w:qFormat/>
    <w:rsid w:val="008C1776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"/>
    <w:basedOn w:val="Normal"/>
    <w:next w:val="Normal"/>
    <w:link w:val="Heading9Char1"/>
    <w:qFormat/>
    <w:rsid w:val="008C1776"/>
    <w:pPr>
      <w:numPr>
        <w:ilvl w:val="8"/>
        <w:numId w:val="7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E83F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FAC"/>
  </w:style>
  <w:style w:type="paragraph" w:styleId="BodyText">
    <w:name w:val="Body Text"/>
    <w:basedOn w:val="Normal"/>
    <w:link w:val="BodyTextChar1"/>
    <w:rsid w:val="008C1776"/>
  </w:style>
  <w:style w:type="paragraph" w:customStyle="1" w:styleId="Figure">
    <w:name w:val="Figure"/>
    <w:basedOn w:val="Normal"/>
    <w:semiHidden/>
    <w:rPr>
      <w:sz w:val="28"/>
    </w:rPr>
  </w:style>
  <w:style w:type="paragraph" w:customStyle="1" w:styleId="Unpara1">
    <w:name w:val="Unpara1"/>
    <w:basedOn w:val="Normal"/>
    <w:semiHidden/>
    <w:rPr>
      <w:sz w:val="24"/>
    </w:rPr>
  </w:style>
  <w:style w:type="character" w:styleId="CommentReference">
    <w:name w:val="annotation reference"/>
    <w:semiHidden/>
    <w:rsid w:val="00EE53F2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EE53F2"/>
  </w:style>
  <w:style w:type="character" w:styleId="PageNumber">
    <w:name w:val="page number"/>
    <w:semiHidden/>
    <w:rsid w:val="00EE53F2"/>
    <w:rPr>
      <w:rFonts w:cs="Times New Roman"/>
    </w:rPr>
  </w:style>
  <w:style w:type="paragraph" w:styleId="Header">
    <w:name w:val="header"/>
    <w:basedOn w:val="Normal"/>
    <w:link w:val="HeaderChar1"/>
    <w:semiHidden/>
    <w:rsid w:val="00EE53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semiHidden/>
    <w:rsid w:val="00EE53F2"/>
    <w:pPr>
      <w:tabs>
        <w:tab w:val="center" w:pos="4153"/>
        <w:tab w:val="right" w:pos="8306"/>
      </w:tabs>
    </w:pPr>
  </w:style>
  <w:style w:type="paragraph" w:customStyle="1" w:styleId="ListType1">
    <w:name w:val="List Type 1"/>
    <w:basedOn w:val="Normal"/>
    <w:semiHidden/>
    <w:pPr>
      <w:spacing w:after="200"/>
      <w:ind w:left="1854" w:right="1008" w:hanging="720"/>
    </w:pPr>
    <w:rPr>
      <w:sz w:val="24"/>
    </w:rPr>
  </w:style>
  <w:style w:type="paragraph" w:customStyle="1" w:styleId="Tag">
    <w:name w:val="Tag"/>
    <w:basedOn w:val="Normal"/>
    <w:semiHidden/>
    <w:pPr>
      <w:keepNext/>
    </w:pPr>
  </w:style>
  <w:style w:type="paragraph" w:customStyle="1" w:styleId="AnnexList">
    <w:name w:val="AnnexList"/>
    <w:basedOn w:val="Normal"/>
    <w:semiHidden/>
    <w:pPr>
      <w:ind w:left="641" w:hanging="641"/>
    </w:pPr>
  </w:style>
  <w:style w:type="character" w:styleId="Hyperlink">
    <w:name w:val="Hyperlink"/>
    <w:uiPriority w:val="99"/>
    <w:unhideWhenUsed/>
    <w:rsid w:val="00E83FAC"/>
    <w:rPr>
      <w:color w:val="0000FF"/>
      <w:u w:val="single"/>
    </w:rPr>
  </w:style>
  <w:style w:type="paragraph" w:styleId="BodyTextIndent2">
    <w:name w:val="Body Text Indent 2"/>
    <w:basedOn w:val="Normal"/>
    <w:semiHidden/>
    <w:pPr>
      <w:ind w:left="1440"/>
    </w:pPr>
    <w:rPr>
      <w:sz w:val="24"/>
    </w:rPr>
  </w:style>
  <w:style w:type="character" w:styleId="FollowedHyperlink">
    <w:name w:val="FollowedHyperlink"/>
    <w:semiHidden/>
    <w:rsid w:val="00EE53F2"/>
    <w:rPr>
      <w:rFonts w:cs="Times New Roman"/>
      <w:color w:val="800080"/>
      <w:u w:val="single"/>
    </w:rPr>
  </w:style>
  <w:style w:type="paragraph" w:styleId="BlockText">
    <w:name w:val="Block Text"/>
    <w:basedOn w:val="Normal"/>
    <w:semiHidden/>
    <w:pPr>
      <w:spacing w:after="240"/>
      <w:ind w:left="2127" w:right="238" w:hanging="2127"/>
    </w:pPr>
    <w:rPr>
      <w:sz w:val="24"/>
    </w:rPr>
  </w:style>
  <w:style w:type="paragraph" w:styleId="BodyText2">
    <w:name w:val="Body Text 2"/>
    <w:basedOn w:val="Normal"/>
    <w:semiHidden/>
    <w:pPr>
      <w:ind w:left="720" w:hanging="720"/>
    </w:pPr>
    <w:rPr>
      <w:b/>
      <w:sz w:val="24"/>
    </w:rPr>
  </w:style>
  <w:style w:type="paragraph" w:styleId="BodyText3">
    <w:name w:val="Body Text 3"/>
    <w:basedOn w:val="Normal"/>
    <w:semiHidden/>
    <w:pPr>
      <w:spacing w:after="24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Leg2Sec1">
    <w:name w:val="Leg2 Sec: 1."/>
    <w:basedOn w:val="Normal"/>
    <w:semiHidden/>
    <w:pPr>
      <w:spacing w:before="80" w:after="80" w:line="270" w:lineRule="atLeast"/>
      <w:ind w:left="1701" w:right="567" w:hanging="1134"/>
      <w:jc w:val="left"/>
    </w:pPr>
    <w:rPr>
      <w:rFonts w:ascii="Times" w:hAnsi="Times"/>
      <w:color w:val="000000"/>
      <w:sz w:val="22"/>
    </w:rPr>
  </w:style>
  <w:style w:type="paragraph" w:customStyle="1" w:styleId="NormalBase">
    <w:name w:val="Normal Base"/>
    <w:semiHidden/>
    <w:pPr>
      <w:tabs>
        <w:tab w:val="left" w:pos="567"/>
      </w:tabs>
      <w:spacing w:before="120" w:after="120" w:line="300" w:lineRule="atLeast"/>
      <w:jc w:val="both"/>
    </w:pPr>
    <w:rPr>
      <w:rFonts w:ascii="Times" w:hAnsi="Times"/>
      <w:sz w:val="24"/>
      <w:lang w:eastAsia="en-US"/>
    </w:rPr>
  </w:style>
  <w:style w:type="paragraph" w:customStyle="1" w:styleId="bullet20">
    <w:name w:val="bullet 2"/>
    <w:basedOn w:val="Normal"/>
    <w:semiHidden/>
    <w:pPr>
      <w:tabs>
        <w:tab w:val="left" w:pos="717"/>
      </w:tabs>
      <w:spacing w:before="120" w:after="0"/>
      <w:ind w:left="717" w:hanging="360"/>
      <w:jc w:val="left"/>
    </w:pPr>
    <w:rPr>
      <w:color w:val="000000"/>
      <w:sz w:val="26"/>
      <w:lang w:val="en-US"/>
    </w:rPr>
  </w:style>
  <w:style w:type="paragraph" w:styleId="ListBullet">
    <w:name w:val="List Bullet"/>
    <w:basedOn w:val="Normal"/>
    <w:semiHidden/>
    <w:pPr>
      <w:widowControl w:val="0"/>
      <w:spacing w:after="220"/>
      <w:jc w:val="left"/>
    </w:pPr>
    <w:rPr>
      <w:rFonts w:ascii="Times New Roman" w:hAnsi="Times New Roman"/>
      <w:sz w:val="22"/>
    </w:rPr>
  </w:style>
  <w:style w:type="paragraph" w:styleId="FootnoteText">
    <w:name w:val="footnote text"/>
    <w:basedOn w:val="Normal"/>
    <w:semiHidden/>
    <w:rsid w:val="00E83FAC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ullet">
    <w:name w:val="Bullet"/>
    <w:basedOn w:val="ListParagraph"/>
    <w:qFormat/>
    <w:rsid w:val="00EB264E"/>
    <w:pPr>
      <w:numPr>
        <w:numId w:val="30"/>
      </w:numPr>
      <w:tabs>
        <w:tab w:val="left" w:pos="567"/>
      </w:tabs>
      <w:jc w:val="left"/>
    </w:pPr>
  </w:style>
  <w:style w:type="paragraph" w:customStyle="1" w:styleId="ParagraphText">
    <w:name w:val="Paragraph Text"/>
    <w:semiHidden/>
    <w:pPr>
      <w:widowControl w:val="0"/>
      <w:jc w:val="both"/>
    </w:pPr>
    <w:rPr>
      <w:rFonts w:ascii="Arial" w:hAnsi="Arial"/>
      <w:sz w:val="18"/>
      <w:lang w:eastAsia="en-US"/>
    </w:rPr>
  </w:style>
  <w:style w:type="paragraph" w:styleId="EndnoteText">
    <w:name w:val="endnote text"/>
    <w:basedOn w:val="Normal"/>
    <w:link w:val="EndnoteTextChar1"/>
    <w:semiHidden/>
    <w:rsid w:val="008C1776"/>
    <w:rPr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ListNumber2">
    <w:name w:val="List Number 2"/>
    <w:basedOn w:val="Normal"/>
    <w:semiHidden/>
    <w:pPr>
      <w:tabs>
        <w:tab w:val="left" w:pos="0"/>
        <w:tab w:val="left" w:pos="851"/>
        <w:tab w:val="left" w:pos="1701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20"/>
      <w:ind w:left="1701" w:hanging="850"/>
    </w:pPr>
    <w:rPr>
      <w:rFonts w:ascii="CG Times" w:hAnsi="CG Times"/>
      <w:sz w:val="24"/>
    </w:rPr>
  </w:style>
  <w:style w:type="paragraph" w:styleId="BodyTextIndent3">
    <w:name w:val="Body Text Indent 3"/>
    <w:basedOn w:val="Normal"/>
    <w:semiHidden/>
    <w:pPr>
      <w:spacing w:after="0"/>
      <w:ind w:left="1418" w:hanging="851"/>
      <w:jc w:val="left"/>
    </w:pPr>
    <w:rPr>
      <w:rFonts w:ascii="Times New Roman" w:hAnsi="Times New Roman"/>
      <w:lang w:val="en-US"/>
    </w:rPr>
  </w:style>
  <w:style w:type="paragraph" w:styleId="TOC1">
    <w:name w:val="toc 1"/>
    <w:next w:val="ASDEFCONNormal"/>
    <w:autoRedefine/>
    <w:uiPriority w:val="39"/>
    <w:rsid w:val="00E83FAC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E83FAC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83FAC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E83FA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83FA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83FA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83FA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83FA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83FAC"/>
    <w:pPr>
      <w:spacing w:after="100"/>
      <w:ind w:left="1600"/>
    </w:pPr>
  </w:style>
  <w:style w:type="paragraph" w:customStyle="1" w:styleId="Indent2">
    <w:name w:val="Indent 2"/>
    <w:basedOn w:val="Heading2"/>
    <w:semiHidden/>
    <w:pPr>
      <w:tabs>
        <w:tab w:val="left" w:pos="360"/>
      </w:tabs>
      <w:ind w:left="737"/>
      <w:outlineLvl w:val="9"/>
    </w:pPr>
  </w:style>
  <w:style w:type="paragraph" w:styleId="BodyTextIndent">
    <w:name w:val="Body Text Indent"/>
    <w:basedOn w:val="Normal"/>
    <w:semiHidden/>
    <w:pPr>
      <w:ind w:left="851"/>
    </w:pPr>
    <w:rPr>
      <w:b/>
    </w:rPr>
  </w:style>
  <w:style w:type="paragraph" w:customStyle="1" w:styleId="spara">
    <w:name w:val="spara"/>
    <w:next w:val="Normal"/>
    <w:semiHidden/>
    <w:pPr>
      <w:numPr>
        <w:ilvl w:val="2"/>
        <w:numId w:val="1"/>
      </w:numPr>
      <w:tabs>
        <w:tab w:val="clear" w:pos="720"/>
        <w:tab w:val="num" w:pos="810"/>
      </w:tabs>
      <w:spacing w:after="120"/>
      <w:ind w:left="907" w:firstLine="0"/>
    </w:pPr>
    <w:rPr>
      <w:rFonts w:ascii="Arial" w:hAnsi="Arial"/>
      <w:noProof/>
      <w:lang w:eastAsia="en-US"/>
    </w:rPr>
  </w:style>
  <w:style w:type="paragraph" w:customStyle="1" w:styleId="Note">
    <w:name w:val="Note"/>
    <w:basedOn w:val="PlainText"/>
    <w:semiHidden/>
    <w:pPr>
      <w:keepNext/>
      <w:tabs>
        <w:tab w:val="left" w:pos="851"/>
      </w:tabs>
    </w:pPr>
    <w:rPr>
      <w:rFonts w:ascii="Arial" w:hAnsi="Arial"/>
      <w:b/>
      <w:i/>
      <w:lang w:eastAsia="en-US"/>
    </w:rPr>
  </w:style>
  <w:style w:type="paragraph" w:customStyle="1" w:styleId="TextLevel2">
    <w:name w:val="Text Level 2"/>
    <w:basedOn w:val="Normal"/>
    <w:semiHidden/>
    <w:pPr>
      <w:numPr>
        <w:ilvl w:val="1"/>
        <w:numId w:val="4"/>
      </w:numPr>
    </w:pPr>
    <w:rPr>
      <w:lang w:val="en-US"/>
    </w:rPr>
  </w:style>
  <w:style w:type="paragraph" w:styleId="PlainText">
    <w:name w:val="Plain Text"/>
    <w:basedOn w:val="Normal"/>
    <w:semiHidden/>
    <w:rPr>
      <w:rFonts w:ascii="Courier New" w:hAnsi="Courier New"/>
    </w:rPr>
  </w:style>
  <w:style w:type="paragraph" w:customStyle="1" w:styleId="NotetoDrafters">
    <w:name w:val="Note to Drafters"/>
    <w:basedOn w:val="Normal"/>
    <w:next w:val="Normal"/>
    <w:semiHidden/>
    <w:pPr>
      <w:shd w:val="clear" w:color="auto" w:fill="000000"/>
      <w:spacing w:after="0"/>
      <w:jc w:val="left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pPr>
      <w:shd w:val="pct20" w:color="auto" w:fill="FFFFFF"/>
      <w:spacing w:after="0"/>
    </w:pPr>
    <w:rPr>
      <w:b/>
      <w:i/>
      <w:lang w:val="en-US"/>
    </w:rPr>
  </w:style>
  <w:style w:type="paragraph" w:customStyle="1" w:styleId="Notetodrafters0">
    <w:name w:val="Note to drafters"/>
    <w:basedOn w:val="Normal"/>
    <w:semiHidden/>
    <w:pPr>
      <w:shd w:val="clear" w:color="auto" w:fill="000000"/>
    </w:pPr>
    <w:rPr>
      <w:b/>
      <w:i/>
      <w:lang w:val="en-US"/>
    </w:rPr>
  </w:style>
  <w:style w:type="paragraph" w:customStyle="1" w:styleId="Option">
    <w:name w:val="Option"/>
    <w:basedOn w:val="Normal"/>
    <w:next w:val="Normal"/>
    <w:semiHidden/>
    <w:pPr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EE53F2"/>
    <w:pPr>
      <w:shd w:val="pct15" w:color="auto" w:fill="FFFFFF"/>
      <w:spacing w:before="120"/>
    </w:pPr>
    <w:rPr>
      <w:b/>
      <w:i/>
    </w:rPr>
  </w:style>
  <w:style w:type="paragraph" w:customStyle="1" w:styleId="AttachmentHeading">
    <w:name w:val="Attachment Heading"/>
    <w:basedOn w:val="Normal"/>
    <w:semiHidden/>
    <w:pPr>
      <w:spacing w:after="0"/>
      <w:jc w:val="center"/>
    </w:pPr>
    <w:rPr>
      <w:b/>
      <w:caps/>
      <w:lang w:val="en-US"/>
    </w:rPr>
  </w:style>
  <w:style w:type="paragraph" w:customStyle="1" w:styleId="FigureCaption">
    <w:name w:val="Figure Caption"/>
    <w:basedOn w:val="Normal"/>
    <w:semiHidden/>
    <w:pPr>
      <w:spacing w:after="0"/>
      <w:jc w:val="center"/>
    </w:pPr>
    <w:rPr>
      <w:rFonts w:ascii="Times New Roman" w:hAnsi="Times New Roman"/>
      <w:b/>
      <w:lang w:val="en-US"/>
    </w:rPr>
  </w:style>
  <w:style w:type="paragraph" w:customStyle="1" w:styleId="sspara">
    <w:name w:val="sspara"/>
    <w:next w:val="Normal"/>
    <w:semiHidden/>
    <w:pPr>
      <w:numPr>
        <w:ilvl w:val="3"/>
        <w:numId w:val="2"/>
      </w:numPr>
      <w:spacing w:after="120"/>
      <w:ind w:firstLine="576"/>
    </w:pPr>
    <w:rPr>
      <w:rFonts w:ascii="Arial" w:hAnsi="Arial"/>
      <w:noProof/>
      <w:lang w:eastAsia="en-US"/>
    </w:rPr>
  </w:style>
  <w:style w:type="paragraph" w:customStyle="1" w:styleId="TitleChapter">
    <w:name w:val="TitleChapter"/>
    <w:next w:val="TextLevel2"/>
    <w:semiHidden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Attachments">
    <w:name w:val="Attachments"/>
    <w:next w:val="Normal"/>
    <w:semiHidden/>
    <w:pPr>
      <w:numPr>
        <w:numId w:val="3"/>
      </w:numPr>
    </w:pPr>
    <w:rPr>
      <w:rFonts w:ascii="Arial" w:hAnsi="Arial"/>
      <w:noProof/>
      <w:lang w:eastAsia="en-US"/>
    </w:rPr>
  </w:style>
  <w:style w:type="table" w:styleId="TableGrid">
    <w:name w:val="Table Grid"/>
    <w:basedOn w:val="TableNormal"/>
    <w:rsid w:val="008C1776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8C1776"/>
    <w:rPr>
      <w:b w:val="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EE53F2"/>
    <w:rPr>
      <w:b/>
      <w:bCs/>
    </w:rPr>
  </w:style>
  <w:style w:type="paragraph" w:styleId="BalloonText">
    <w:name w:val="Balloon Text"/>
    <w:basedOn w:val="Normal"/>
    <w:link w:val="BalloonTextChar"/>
    <w:autoRedefine/>
    <w:rsid w:val="00227BB8"/>
    <w:rPr>
      <w:sz w:val="18"/>
      <w:szCs w:val="20"/>
    </w:rPr>
  </w:style>
  <w:style w:type="paragraph" w:customStyle="1" w:styleId="NoteToDrafters1">
    <w:name w:val="Note To Drafters"/>
    <w:basedOn w:val="Normal"/>
    <w:next w:val="Normal"/>
    <w:autoRedefine/>
    <w:semiHidden/>
    <w:rsid w:val="00EE53F2"/>
    <w:pPr>
      <w:keepNext/>
      <w:shd w:val="clear" w:color="auto" w:fill="000000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EE53F2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EE53F2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EE53F2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EE53F2"/>
    <w:rPr>
      <w:b/>
      <w:caps/>
    </w:rPr>
  </w:style>
  <w:style w:type="paragraph" w:customStyle="1" w:styleId="Recitals">
    <w:name w:val="Recitals"/>
    <w:basedOn w:val="Normal"/>
    <w:semiHidden/>
    <w:rsid w:val="00EE53F2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EE53F2"/>
    <w:pPr>
      <w:keepNext/>
      <w:ind w:left="851"/>
    </w:pPr>
  </w:style>
  <w:style w:type="paragraph" w:customStyle="1" w:styleId="TablePara">
    <w:name w:val="Table Para"/>
    <w:autoRedefine/>
    <w:semiHidden/>
    <w:rsid w:val="00EE53F2"/>
    <w:pPr>
      <w:numPr>
        <w:numId w:val="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EE53F2"/>
  </w:style>
  <w:style w:type="paragraph" w:customStyle="1" w:styleId="TableSubpara">
    <w:name w:val="Table Subpara"/>
    <w:autoRedefine/>
    <w:semiHidden/>
    <w:rsid w:val="00EE53F2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EE53F2"/>
    <w:pPr>
      <w:numPr>
        <w:numId w:val="9"/>
      </w:numPr>
      <w:tabs>
        <w:tab w:val="left" w:pos="1701"/>
      </w:tabs>
    </w:pPr>
  </w:style>
  <w:style w:type="paragraph" w:customStyle="1" w:styleId="Level11fo">
    <w:name w:val="Level 1.1fo"/>
    <w:basedOn w:val="Normal"/>
    <w:rsid w:val="00EE53F2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EE53F2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EB264E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E83FAC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(1) Char1,Major Sections Char1,subsub Char1,Para 3 Char1,h3 Char1"/>
    <w:link w:val="Heading3"/>
    <w:uiPriority w:val="9"/>
    <w:locked/>
    <w:rsid w:val="00EB264E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eadhbk Char1,(a) Char1,h4 Char1"/>
    <w:link w:val="Heading4"/>
    <w:uiPriority w:val="9"/>
    <w:locked/>
    <w:rsid w:val="00EB264E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EE53F2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EE53F2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EE53F2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EE53F2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EE53F2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EE53F2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EE53F2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EE53F2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EE53F2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227BB8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EE53F2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EE53F2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EE53F2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EE53F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EE53F2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(1) Char,Major Sections Char,subsub Char,Para 3 Char,h3 Char"/>
    <w:uiPriority w:val="9"/>
    <w:locked/>
    <w:rsid w:val="00EE53F2"/>
    <w:rPr>
      <w:b/>
      <w:bCs/>
      <w:szCs w:val="24"/>
    </w:rPr>
  </w:style>
  <w:style w:type="character" w:customStyle="1" w:styleId="Heading4Char1">
    <w:name w:val="Heading 4 Char1"/>
    <w:aliases w:val="Para4 Char,headhbk Char,(a) Char,h4 Char"/>
    <w:uiPriority w:val="9"/>
    <w:locked/>
    <w:rsid w:val="00EE53F2"/>
    <w:rPr>
      <w:b/>
      <w:bCs/>
      <w:iCs/>
      <w:szCs w:val="24"/>
    </w:rPr>
  </w:style>
  <w:style w:type="character" w:customStyle="1" w:styleId="Heading5Char1">
    <w:name w:val="Heading 5 Char1"/>
    <w:aliases w:val="Para5 Char,i. Char,H Char,subsubpara Char,1.1.1.1.1 Char"/>
    <w:link w:val="Heading5"/>
    <w:locked/>
    <w:rsid w:val="00EE53F2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"/>
    <w:link w:val="Heading6"/>
    <w:locked/>
    <w:rsid w:val="00EE53F2"/>
    <w:rPr>
      <w:b/>
      <w:bCs/>
      <w:sz w:val="22"/>
      <w:szCs w:val="24"/>
    </w:rPr>
  </w:style>
  <w:style w:type="character" w:customStyle="1" w:styleId="Heading7Char1">
    <w:name w:val="Heading 7 Char1"/>
    <w:aliases w:val="Spare3 Char,h7 Char,H7 Char,Legal Level 1.1. Char,7 Char,Response Alpha Char,Response Numeral Char,Heading 7 Char1 Char1 Char,Heading 7 Char Char Char1 Char,Heading 7 Char1 Char1 Char Char Char1 Char"/>
    <w:link w:val="Heading7"/>
    <w:locked/>
    <w:rsid w:val="00EE53F2"/>
    <w:rPr>
      <w:sz w:val="24"/>
      <w:szCs w:val="24"/>
    </w:rPr>
  </w:style>
  <w:style w:type="character" w:customStyle="1" w:styleId="Heading8Char1">
    <w:name w:val="Heading 8 Char1"/>
    <w:aliases w:val="Spare4 Char"/>
    <w:link w:val="Heading8"/>
    <w:locked/>
    <w:rsid w:val="00EE53F2"/>
    <w:rPr>
      <w:i/>
      <w:iCs/>
      <w:sz w:val="24"/>
      <w:szCs w:val="24"/>
    </w:rPr>
  </w:style>
  <w:style w:type="character" w:customStyle="1" w:styleId="Heading9Char1">
    <w:name w:val="Heading 9 Char1"/>
    <w:aliases w:val="Spare5 Char"/>
    <w:link w:val="Heading9"/>
    <w:locked/>
    <w:rsid w:val="00EE53F2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EE53F2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semiHidden/>
    <w:rsid w:val="00EE53F2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semiHidden/>
    <w:rsid w:val="00EE53F2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EE53F2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EE53F2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EE53F2"/>
    <w:rPr>
      <w:i/>
      <w:iCs/>
    </w:rPr>
  </w:style>
  <w:style w:type="character" w:customStyle="1" w:styleId="CommentSubjectChar1">
    <w:name w:val="Comment Subject Char1"/>
    <w:link w:val="CommentSubject"/>
    <w:semiHidden/>
    <w:rsid w:val="00EE53F2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EE53F2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E83FAC"/>
    <w:pPr>
      <w:keepNext/>
      <w:keepLines/>
      <w:numPr>
        <w:ilvl w:val="1"/>
        <w:numId w:val="1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83FA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83FAC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83FAC"/>
    <w:pPr>
      <w:numPr>
        <w:ilvl w:val="2"/>
        <w:numId w:val="10"/>
      </w:numPr>
    </w:pPr>
  </w:style>
  <w:style w:type="paragraph" w:customStyle="1" w:styleId="COTCOCLV1-ASDEFCON">
    <w:name w:val="COT/COC LV1 - ASDEFCON"/>
    <w:basedOn w:val="ASDEFCONNormal"/>
    <w:next w:val="COTCOCLV2-ASDEFCON"/>
    <w:rsid w:val="00E83FAC"/>
    <w:pPr>
      <w:keepNext/>
      <w:keepLines/>
      <w:numPr>
        <w:numId w:val="1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83FAC"/>
    <w:pPr>
      <w:numPr>
        <w:ilvl w:val="3"/>
        <w:numId w:val="10"/>
      </w:numPr>
    </w:pPr>
  </w:style>
  <w:style w:type="paragraph" w:customStyle="1" w:styleId="COTCOCLV5-ASDEFCON">
    <w:name w:val="COT/COC LV5 - ASDEFCON"/>
    <w:basedOn w:val="ASDEFCONNormal"/>
    <w:rsid w:val="00E83FAC"/>
    <w:pPr>
      <w:numPr>
        <w:ilvl w:val="4"/>
        <w:numId w:val="10"/>
      </w:numPr>
    </w:pPr>
  </w:style>
  <w:style w:type="paragraph" w:customStyle="1" w:styleId="COTCOCLV6-ASDEFCON">
    <w:name w:val="COT/COC LV6 - ASDEFCON"/>
    <w:basedOn w:val="ASDEFCONNormal"/>
    <w:rsid w:val="00E83FAC"/>
    <w:pPr>
      <w:keepLines/>
      <w:numPr>
        <w:ilvl w:val="5"/>
        <w:numId w:val="10"/>
      </w:numPr>
    </w:pPr>
  </w:style>
  <w:style w:type="paragraph" w:customStyle="1" w:styleId="ASDEFCONOption">
    <w:name w:val="ASDEFCON Option"/>
    <w:basedOn w:val="ASDEFCONNormal"/>
    <w:rsid w:val="00E83FA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83FA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83FA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83FA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83FAC"/>
    <w:pPr>
      <w:keepNext/>
      <w:keepLines/>
      <w:numPr>
        <w:numId w:val="3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83FAC"/>
    <w:pPr>
      <w:numPr>
        <w:ilvl w:val="1"/>
        <w:numId w:val="3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83FA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83FAC"/>
    <w:pPr>
      <w:numPr>
        <w:ilvl w:val="2"/>
        <w:numId w:val="3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83FAC"/>
    <w:pPr>
      <w:numPr>
        <w:ilvl w:val="3"/>
        <w:numId w:val="34"/>
      </w:numPr>
    </w:pPr>
    <w:rPr>
      <w:szCs w:val="24"/>
    </w:rPr>
  </w:style>
  <w:style w:type="paragraph" w:customStyle="1" w:styleId="ASDEFCONCoverTitle">
    <w:name w:val="ASDEFCON Cover Title"/>
    <w:rsid w:val="00E83FA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83FA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83FA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83FA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83FA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83FA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83FA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83FA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83FA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83FA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83FA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83FA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83FA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83FA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83FAC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83FAC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83FAC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83FAC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83FAC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83FAC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83FAC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83FAC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83FAC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83FAC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83FA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83FA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83FA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83FA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83FA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83FA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83FA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83FA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83FA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83FAC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83FA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83FAC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E83FA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83FAC"/>
    <w:pPr>
      <w:numPr>
        <w:numId w:val="1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83FA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83FA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83FAC"/>
    <w:pPr>
      <w:numPr>
        <w:numId w:val="2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83FAC"/>
    <w:pPr>
      <w:numPr>
        <w:numId w:val="2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83FA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83FA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83FA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83FA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83FAC"/>
    <w:pPr>
      <w:numPr>
        <w:numId w:val="17"/>
      </w:numPr>
    </w:pPr>
  </w:style>
  <w:style w:type="paragraph" w:customStyle="1" w:styleId="Table8ptBP2-ASDEFCON">
    <w:name w:val="Table 8pt BP2 - ASDEFCON"/>
    <w:basedOn w:val="Table8ptText-ASDEFCON"/>
    <w:rsid w:val="00E83FAC"/>
    <w:pPr>
      <w:numPr>
        <w:ilvl w:val="1"/>
        <w:numId w:val="1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83FAC"/>
    <w:pPr>
      <w:numPr>
        <w:numId w:val="1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83FA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83FA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83FAC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E83FAC"/>
    <w:pPr>
      <w:numPr>
        <w:numId w:val="2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83FAC"/>
    <w:pPr>
      <w:numPr>
        <w:ilvl w:val="1"/>
        <w:numId w:val="2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83FA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83FA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83FA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83FAC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83FAC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83FA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83FA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83FAC"/>
    <w:pPr>
      <w:numPr>
        <w:numId w:val="2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83FAC"/>
    <w:pPr>
      <w:numPr>
        <w:numId w:val="20"/>
      </w:numPr>
    </w:pPr>
  </w:style>
  <w:style w:type="character" w:customStyle="1" w:styleId="ASDEFCONRecitalsCharChar">
    <w:name w:val="ASDEFCON Recitals Char Char"/>
    <w:link w:val="ASDEFCONRecitals"/>
    <w:rsid w:val="00E83FA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83FAC"/>
    <w:pPr>
      <w:numPr>
        <w:numId w:val="2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83FAC"/>
    <w:pPr>
      <w:numPr>
        <w:numId w:val="22"/>
      </w:numPr>
    </w:pPr>
    <w:rPr>
      <w:b/>
      <w:i/>
    </w:rPr>
  </w:style>
  <w:style w:type="paragraph" w:styleId="Caption">
    <w:name w:val="caption"/>
    <w:basedOn w:val="Normal"/>
    <w:next w:val="Normal"/>
    <w:qFormat/>
    <w:rsid w:val="00E83FAC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83FAC"/>
    <w:pPr>
      <w:numPr>
        <w:numId w:val="2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83FA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83FA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83FA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83FA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83FA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83FA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83FA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83FAC"/>
    <w:pPr>
      <w:numPr>
        <w:ilvl w:val="1"/>
        <w:numId w:val="27"/>
      </w:numPr>
    </w:pPr>
  </w:style>
  <w:style w:type="paragraph" w:customStyle="1" w:styleId="ASDEFCONList">
    <w:name w:val="ASDEFCON List"/>
    <w:basedOn w:val="ASDEFCONNormal"/>
    <w:qFormat/>
    <w:rsid w:val="00E83FAC"/>
    <w:pPr>
      <w:numPr>
        <w:numId w:val="2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7D7F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C9203B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EB264E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B264E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B264E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B264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B264E"/>
    <w:rPr>
      <w:rFonts w:ascii="Calibri Light" w:hAnsi="Calibri Light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EB264E"/>
    <w:pPr>
      <w:spacing w:after="0"/>
      <w:ind w:left="720"/>
    </w:pPr>
  </w:style>
  <w:style w:type="paragraph" w:customStyle="1" w:styleId="Bullet2">
    <w:name w:val="Bullet 2"/>
    <w:basedOn w:val="Normal"/>
    <w:rsid w:val="00EB264E"/>
    <w:pPr>
      <w:numPr>
        <w:numId w:val="3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Manager/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/>
  <cp:lastModifiedBy/>
  <cp:revision>36</cp:revision>
  <cp:lastPrinted>2010-02-26T04:04:00Z</cp:lastPrinted>
  <dcterms:created xsi:type="dcterms:W3CDTF">2018-07-23T05:32:00Z</dcterms:created>
  <dcterms:modified xsi:type="dcterms:W3CDTF">2026-06-18T22:51:00Z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Header_Left">
    <vt:lpwstr>ASDEFCON (Support)</vt:lpwstr>
  </property>
  <property fmtid="{D5CDD505-2E9C-101B-9397-08002B2CF9AE}" pid="4" name="Header_Right">
    <vt:lpwstr>PART 2</vt:lpwstr>
  </property>
  <property fmtid="{D5CDD505-2E9C-101B-9397-08002B2CF9AE}" pid="5" name="Footer_Left">
    <vt:lpwstr>Attachment to Draft Conditions of Contract</vt:lpwstr>
  </property>
  <property fmtid="{D5CDD505-2E9C-101B-9397-08002B2CF9AE}" pid="6" name="Classification">
    <vt:lpwstr>OFFICIAL</vt:lpwstr>
  </property>
  <property fmtid="{D5CDD505-2E9C-101B-9397-08002B2CF9AE}" pid="7" name="Objective-Id">
    <vt:lpwstr>BM81990170</vt:lpwstr>
  </property>
  <property fmtid="{D5CDD505-2E9C-101B-9397-08002B2CF9AE}" pid="8" name="Objective-Version">
    <vt:lpwstr>2.1</vt:lpwstr>
  </property>
  <property fmtid="{D5CDD505-2E9C-101B-9397-08002B2CF9AE}" pid="9" name="Objective-Classification">
    <vt:lpwstr>Official</vt:lpwstr>
  </property>
  <property fmtid="{D5CDD505-2E9C-101B-9397-08002B2CF9AE}" pid="10" name="Objective-Caveats">
    <vt:lpwstr/>
  </property>
</Properties>
</file>